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4B25B" w14:textId="3E8727D5" w:rsidR="003B54CB" w:rsidRPr="003B54CB" w:rsidRDefault="003B54CB" w:rsidP="003B54CB">
      <w:pPr>
        <w:jc w:val="right"/>
        <w:rPr>
          <w:rFonts w:ascii="Baskerville" w:hAnsi="Baskerville" w:cs="Arial"/>
          <w:i/>
        </w:rPr>
      </w:pPr>
      <w:r w:rsidRPr="003B54CB">
        <w:rPr>
          <w:rFonts w:ascii="Baskerville" w:hAnsi="Baskerville" w:cs="Arial"/>
          <w:i/>
        </w:rPr>
        <w:t>Histoire des idées</w:t>
      </w:r>
      <w:r>
        <w:rPr>
          <w:rFonts w:ascii="Baskerville" w:hAnsi="Baskerville" w:cs="Arial"/>
          <w:i/>
        </w:rPr>
        <w:t xml:space="preserve"> - </w:t>
      </w:r>
      <w:r>
        <w:rPr>
          <w:rFonts w:ascii="Baskerville" w:hAnsi="Baskerville" w:cs="Arial"/>
          <w:b/>
        </w:rPr>
        <w:t>Histoire littéraire</w:t>
      </w:r>
    </w:p>
    <w:p w14:paraId="48078C6B" w14:textId="77777777" w:rsidR="003B54CB" w:rsidRDefault="003B54CB" w:rsidP="00BB2E1A">
      <w:pPr>
        <w:rPr>
          <w:rFonts w:ascii="Baskerville" w:hAnsi="Baskerville" w:cs="Arial"/>
          <w:b/>
        </w:rPr>
      </w:pPr>
    </w:p>
    <w:p w14:paraId="36BFF40A" w14:textId="18238129" w:rsidR="00C36640" w:rsidRPr="00B503CA" w:rsidRDefault="003B54CB" w:rsidP="00BB2E1A">
      <w:pPr>
        <w:rPr>
          <w:rFonts w:ascii="Baskerville" w:hAnsi="Baskerville" w:cs="Arial"/>
          <w:b/>
        </w:rPr>
      </w:pPr>
      <w:r>
        <w:rPr>
          <w:rFonts w:ascii="Baskerville" w:hAnsi="Baskerville" w:cs="Arial"/>
          <w:b/>
        </w:rPr>
        <w:t>HOMÈ</w:t>
      </w:r>
      <w:r w:rsidR="00992F67" w:rsidRPr="00B503CA">
        <w:rPr>
          <w:rFonts w:ascii="Baskerville" w:hAnsi="Baskerville" w:cs="Arial"/>
          <w:b/>
        </w:rPr>
        <w:t>RE ET LA BIBLE : LA GRÈCE CONTRE LE MONDE SÉ</w:t>
      </w:r>
      <w:r w:rsidR="00C36640" w:rsidRPr="00B503CA">
        <w:rPr>
          <w:rFonts w:ascii="Baskerville" w:hAnsi="Baskerville" w:cs="Arial"/>
          <w:b/>
        </w:rPr>
        <w:t>MITE</w:t>
      </w:r>
    </w:p>
    <w:p w14:paraId="7C2FAD74" w14:textId="77777777" w:rsidR="00992F67" w:rsidRPr="00B503CA" w:rsidRDefault="00992F67" w:rsidP="00BB2E1A">
      <w:pPr>
        <w:rPr>
          <w:rFonts w:ascii="Baskerville" w:hAnsi="Baskerville" w:cs="Arial"/>
        </w:rPr>
      </w:pPr>
    </w:p>
    <w:p w14:paraId="36DDE4BE" w14:textId="77777777" w:rsidR="004C5067" w:rsidRDefault="00663EAF" w:rsidP="00BB2E1A">
      <w:pPr>
        <w:rPr>
          <w:rFonts w:ascii="Baskerville" w:hAnsi="Baskerville" w:cs="Arial"/>
        </w:rPr>
      </w:pPr>
      <w:r>
        <w:rPr>
          <w:rFonts w:ascii="Baskerville" w:hAnsi="Baskerville" w:cs="Arial"/>
        </w:rPr>
        <w:t xml:space="preserve">TEXTE 1 </w:t>
      </w:r>
    </w:p>
    <w:p w14:paraId="565B2489" w14:textId="799D0F8E" w:rsidR="00BB2E1A" w:rsidRPr="00381C1E" w:rsidRDefault="006D0B20" w:rsidP="00381C1E">
      <w:pPr>
        <w:jc w:val="both"/>
        <w:rPr>
          <w:rFonts w:ascii="Baskerville" w:eastAsia="Times New Roman" w:hAnsi="Baskerville" w:cs="Times New Roman"/>
          <w:b/>
          <w:lang w:eastAsia="fr-FR"/>
        </w:rPr>
      </w:pPr>
      <w:r w:rsidRPr="00381C1E">
        <w:rPr>
          <w:rFonts w:ascii="Baskerville" w:hAnsi="Baskerville" w:cs="Arial"/>
          <w:b/>
        </w:rPr>
        <w:t>Heinrich Heine</w:t>
      </w:r>
      <w:r w:rsidR="00BB2E1A" w:rsidRPr="00381C1E">
        <w:rPr>
          <w:rFonts w:ascii="Baskerville" w:hAnsi="Baskerville" w:cs="Arial"/>
          <w:b/>
        </w:rPr>
        <w:t>,</w:t>
      </w:r>
      <w:r w:rsidR="00BB2E1A" w:rsidRPr="00381C1E">
        <w:rPr>
          <w:rFonts w:ascii="Baskerville" w:eastAsia="Times New Roman" w:hAnsi="Baskerville" w:cs="Times New Roman"/>
          <w:b/>
          <w:bCs/>
        </w:rPr>
        <w:t xml:space="preserve"> « </w:t>
      </w:r>
      <w:r w:rsidR="00BB2E1A" w:rsidRPr="00381C1E">
        <w:rPr>
          <w:rFonts w:ascii="Baskerville" w:eastAsia="Times New Roman" w:hAnsi="Baskerville" w:cs="Times New Roman"/>
          <w:b/>
          <w:bCs/>
          <w:lang w:eastAsia="fr-FR"/>
        </w:rPr>
        <w:t>Méphistophélès et la légende de Faust »</w:t>
      </w:r>
      <w:r w:rsidR="00BB2E1A" w:rsidRPr="00381C1E">
        <w:rPr>
          <w:rFonts w:ascii="Baskerville" w:eastAsia="Times New Roman" w:hAnsi="Baskerville" w:cs="Times New Roman"/>
          <w:b/>
          <w:lang w:eastAsia="fr-FR"/>
        </w:rPr>
        <w:t xml:space="preserve">, </w:t>
      </w:r>
      <w:hyperlink r:id="rId8" w:tooltip="Revue des Deux Mondes" w:history="1">
        <w:r w:rsidR="00BB2E1A" w:rsidRPr="00381C1E">
          <w:rPr>
            <w:rFonts w:ascii="Baskerville" w:eastAsia="Times New Roman" w:hAnsi="Baskerville" w:cs="Times New Roman"/>
            <w:b/>
            <w:lang w:eastAsia="fr-FR"/>
          </w:rPr>
          <w:t>Revue des Deux Mondes</w:t>
        </w:r>
      </w:hyperlink>
      <w:r w:rsidR="00BB2E1A" w:rsidRPr="00381C1E">
        <w:rPr>
          <w:rFonts w:ascii="Baskerville" w:eastAsia="Times New Roman" w:hAnsi="Baskerville" w:cs="Times New Roman"/>
          <w:b/>
          <w:lang w:eastAsia="fr-FR"/>
        </w:rPr>
        <w:t>, T.13, 1852</w:t>
      </w:r>
    </w:p>
    <w:p w14:paraId="22FC88A9" w14:textId="28934445" w:rsidR="00BA6194" w:rsidRPr="00B503CA" w:rsidRDefault="00B503CA" w:rsidP="00BB2E1A">
      <w:pPr>
        <w:pStyle w:val="NormalWeb"/>
        <w:shd w:val="clear" w:color="auto" w:fill="FFFFFF"/>
        <w:spacing w:before="0" w:beforeAutospacing="0" w:after="0" w:afterAutospacing="0"/>
        <w:jc w:val="both"/>
        <w:rPr>
          <w:rFonts w:ascii="Baskerville" w:hAnsi="Baskerville" w:cs="Arial"/>
          <w:i/>
          <w:color w:val="252525"/>
          <w:sz w:val="22"/>
          <w:szCs w:val="22"/>
        </w:rPr>
      </w:pPr>
      <w:r w:rsidRPr="00B503CA">
        <w:rPr>
          <w:rFonts w:ascii="Baskerville" w:hAnsi="Baskerville" w:cs="Arial"/>
          <w:i/>
          <w:color w:val="252525"/>
          <w:sz w:val="22"/>
          <w:szCs w:val="22"/>
        </w:rPr>
        <w:t>Dans ce texte l’auteur fait de Hélène la métaphore de la Grèce.</w:t>
      </w:r>
    </w:p>
    <w:p w14:paraId="26567530" w14:textId="77777777" w:rsidR="00B503CA" w:rsidRDefault="00B503CA" w:rsidP="00381C1E">
      <w:pPr>
        <w:pStyle w:val="NormalWeb"/>
        <w:shd w:val="clear" w:color="auto" w:fill="FFFFFF"/>
        <w:spacing w:before="0" w:beforeAutospacing="0" w:after="0" w:afterAutospacing="0"/>
        <w:rPr>
          <w:rFonts w:ascii="Baskerville" w:hAnsi="Baskerville" w:cs="Arial"/>
          <w:color w:val="252525"/>
          <w:sz w:val="22"/>
          <w:szCs w:val="22"/>
        </w:rPr>
      </w:pPr>
    </w:p>
    <w:p w14:paraId="21BAAEB2" w14:textId="77777777" w:rsidR="00B503CA" w:rsidRPr="00B503CA" w:rsidRDefault="00B503CA" w:rsidP="006A70B1">
      <w:pPr>
        <w:pStyle w:val="NormalWeb"/>
        <w:shd w:val="clear" w:color="auto" w:fill="FFFFFF"/>
        <w:spacing w:before="0" w:beforeAutospacing="0" w:after="0" w:afterAutospacing="0" w:line="280" w:lineRule="exact"/>
        <w:jc w:val="both"/>
        <w:rPr>
          <w:rFonts w:ascii="Baskerville" w:hAnsi="Baskerville" w:cs="Arial"/>
          <w:color w:val="252525"/>
          <w:sz w:val="22"/>
          <w:szCs w:val="22"/>
        </w:rPr>
      </w:pPr>
    </w:p>
    <w:p w14:paraId="3ED15CA2" w14:textId="22E90BA7" w:rsidR="0051482B" w:rsidRPr="00B503CA" w:rsidRDefault="00B503CA"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r w:rsidRPr="00B503CA">
        <w:rPr>
          <w:rFonts w:ascii="Baskerville" w:hAnsi="Baskerville" w:cs="Arial"/>
          <w:i/>
          <w:noProof/>
          <w:color w:val="252525"/>
          <w:sz w:val="22"/>
          <w:szCs w:val="22"/>
          <w:lang w:val="en-US" w:eastAsia="en-US"/>
        </w:rPr>
        <w:drawing>
          <wp:anchor distT="0" distB="0" distL="114300" distR="114300" simplePos="0" relativeHeight="251658240" behindDoc="0" locked="0" layoutInCell="1" allowOverlap="1" wp14:anchorId="159019B9" wp14:editId="34B8A825">
            <wp:simplePos x="0" y="0"/>
            <wp:positionH relativeFrom="column">
              <wp:posOffset>85090</wp:posOffset>
            </wp:positionH>
            <wp:positionV relativeFrom="paragraph">
              <wp:posOffset>203835</wp:posOffset>
            </wp:positionV>
            <wp:extent cx="1078230" cy="1535430"/>
            <wp:effectExtent l="0" t="0" r="0" b="0"/>
            <wp:wrapSquare wrapText="bothSides"/>
            <wp:docPr id="1" name="Image 1"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s:f113pvx5547_zrjyr8tc049m0000gn:T:TemporaryItems:images.duckduck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230" cy="1535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D0B20" w:rsidRPr="00B503CA">
        <w:rPr>
          <w:rFonts w:ascii="Baskerville" w:hAnsi="Baskerville" w:cs="Arial"/>
          <w:color w:val="252525"/>
          <w:sz w:val="22"/>
          <w:szCs w:val="22"/>
        </w:rPr>
        <w:t>Astaroth</w:t>
      </w:r>
      <w:proofErr w:type="spellEnd"/>
      <w:r w:rsidR="006D0B20" w:rsidRPr="00B503CA">
        <w:rPr>
          <w:rFonts w:ascii="Baskerville" w:hAnsi="Baskerville" w:cs="Arial"/>
          <w:color w:val="252525"/>
          <w:sz w:val="22"/>
          <w:szCs w:val="22"/>
        </w:rPr>
        <w:t xml:space="preserve"> </w:t>
      </w:r>
      <w:r w:rsidR="00C753E9" w:rsidRPr="00B503CA">
        <w:rPr>
          <w:rFonts w:ascii="Baskerville" w:hAnsi="Baskerville" w:cs="Arial"/>
          <w:color w:val="252525"/>
          <w:sz w:val="22"/>
          <w:szCs w:val="22"/>
        </w:rPr>
        <w:t xml:space="preserve">* </w:t>
      </w:r>
      <w:r w:rsidR="006D0B20" w:rsidRPr="00B503CA">
        <w:rPr>
          <w:rFonts w:ascii="Baskerville" w:hAnsi="Baskerville" w:cs="Arial"/>
          <w:color w:val="252525"/>
          <w:sz w:val="22"/>
          <w:szCs w:val="22"/>
        </w:rPr>
        <w:t>propose à Faust plusieurs femmes dont il lui vante la beauté : Judith</w:t>
      </w:r>
      <w:r w:rsidR="008D5BC7">
        <w:rPr>
          <w:rFonts w:ascii="Baskerville" w:hAnsi="Baskerville" w:cs="Arial"/>
          <w:color w:val="252525"/>
          <w:sz w:val="22"/>
          <w:szCs w:val="22"/>
        </w:rPr>
        <w:t xml:space="preserve"> *</w:t>
      </w:r>
      <w:r w:rsidR="006D0B20" w:rsidRPr="00B503CA">
        <w:rPr>
          <w:rFonts w:ascii="Baskerville" w:hAnsi="Baskerville" w:cs="Arial"/>
          <w:color w:val="252525"/>
          <w:sz w:val="22"/>
          <w:szCs w:val="22"/>
        </w:rPr>
        <w:t>, par exemple. « Je ne veux pas de coupeuse de tête</w:t>
      </w:r>
      <w:r>
        <w:rPr>
          <w:rFonts w:ascii="Baskerville" w:hAnsi="Baskerville" w:cs="Arial"/>
          <w:color w:val="252525"/>
          <w:sz w:val="22"/>
          <w:szCs w:val="22"/>
        </w:rPr>
        <w:t> »</w:t>
      </w:r>
      <w:r w:rsidR="006D0B20" w:rsidRPr="00B503CA">
        <w:rPr>
          <w:rFonts w:ascii="Baskerville" w:hAnsi="Baskerville" w:cs="Arial"/>
          <w:color w:val="252525"/>
          <w:sz w:val="22"/>
          <w:szCs w:val="22"/>
        </w:rPr>
        <w:t xml:space="preserve">, répond Faust. </w:t>
      </w:r>
    </w:p>
    <w:p w14:paraId="01D3B26D" w14:textId="1E63F1FB" w:rsidR="0051482B" w:rsidRPr="00B503CA" w:rsidRDefault="00C36640" w:rsidP="006A70B1">
      <w:pPr>
        <w:pStyle w:val="NormalWeb"/>
        <w:shd w:val="clear" w:color="auto" w:fill="FFFFFF"/>
        <w:spacing w:before="0" w:beforeAutospacing="0" w:after="0" w:afterAutospacing="0" w:line="280" w:lineRule="exact"/>
        <w:ind w:left="502"/>
        <w:jc w:val="both"/>
        <w:rPr>
          <w:rFonts w:ascii="Baskerville" w:hAnsi="Baskerville" w:cs="Arial"/>
          <w:color w:val="252525"/>
          <w:sz w:val="22"/>
          <w:szCs w:val="22"/>
        </w:rPr>
      </w:pPr>
      <w:r w:rsidRPr="00B503CA">
        <w:rPr>
          <w:rFonts w:ascii="Baskerville" w:hAnsi="Baskerville" w:cs="Arial"/>
          <w:color w:val="252525"/>
          <w:sz w:val="22"/>
          <w:szCs w:val="22"/>
        </w:rPr>
        <w:t>-</w:t>
      </w:r>
      <w:r w:rsidR="006D0B20" w:rsidRPr="00B503CA">
        <w:rPr>
          <w:rFonts w:ascii="Baskerville" w:hAnsi="Baskerville" w:cs="Arial"/>
          <w:color w:val="252525"/>
          <w:sz w:val="22"/>
          <w:szCs w:val="22"/>
        </w:rPr>
        <w:t xml:space="preserve">Veux-tu Cléopâtre ? </w:t>
      </w:r>
      <w:proofErr w:type="gramStart"/>
      <w:r w:rsidR="006D0B20" w:rsidRPr="00B503CA">
        <w:rPr>
          <w:rFonts w:ascii="Baskerville" w:hAnsi="Baskerville" w:cs="Arial"/>
          <w:color w:val="252525"/>
          <w:sz w:val="22"/>
          <w:szCs w:val="22"/>
        </w:rPr>
        <w:t>lui</w:t>
      </w:r>
      <w:proofErr w:type="gramEnd"/>
      <w:r w:rsidR="006D0B20" w:rsidRPr="00B503CA">
        <w:rPr>
          <w:rFonts w:ascii="Baskerville" w:hAnsi="Baskerville" w:cs="Arial"/>
          <w:color w:val="252525"/>
          <w:sz w:val="22"/>
          <w:szCs w:val="22"/>
        </w:rPr>
        <w:t xml:space="preserve"> demande l’esprit. </w:t>
      </w:r>
    </w:p>
    <w:p w14:paraId="41C3D761" w14:textId="0504D498" w:rsidR="0051482B" w:rsidRPr="00B503CA" w:rsidRDefault="006D0B20" w:rsidP="006A70B1">
      <w:pPr>
        <w:pStyle w:val="NormalWeb"/>
        <w:numPr>
          <w:ilvl w:val="0"/>
          <w:numId w:val="1"/>
        </w:numPr>
        <w:shd w:val="clear" w:color="auto" w:fill="FFFFFF"/>
        <w:spacing w:before="0" w:beforeAutospacing="0" w:after="0" w:afterAutospacing="0" w:line="280" w:lineRule="exact"/>
        <w:jc w:val="both"/>
        <w:rPr>
          <w:rFonts w:ascii="Baskerville" w:hAnsi="Baskerville" w:cs="Arial"/>
          <w:color w:val="252525"/>
          <w:sz w:val="22"/>
          <w:szCs w:val="22"/>
        </w:rPr>
      </w:pPr>
      <w:r w:rsidRPr="00B503CA">
        <w:rPr>
          <w:rFonts w:ascii="Baskerville" w:hAnsi="Baskerville" w:cs="Arial"/>
          <w:color w:val="252525"/>
          <w:sz w:val="22"/>
          <w:szCs w:val="22"/>
        </w:rPr>
        <w:t xml:space="preserve">— Pas plus que l’autre, dit Faust ; elle est trop prodigue, trop dissipatrice, puisqu’elle a pu ruiner jusqu’au riche Marc-Antoine ; elle dévore des perles. </w:t>
      </w:r>
    </w:p>
    <w:p w14:paraId="658DAD2A" w14:textId="6D4E4797" w:rsidR="00C36640" w:rsidRPr="00B503CA" w:rsidRDefault="006D0B20" w:rsidP="006A70B1">
      <w:pPr>
        <w:pStyle w:val="NormalWeb"/>
        <w:shd w:val="clear" w:color="auto" w:fill="FFFFFF"/>
        <w:spacing w:before="0" w:beforeAutospacing="0" w:after="0" w:afterAutospacing="0" w:line="280" w:lineRule="exact"/>
        <w:ind w:left="142"/>
        <w:jc w:val="both"/>
        <w:rPr>
          <w:rFonts w:ascii="Baskerville" w:hAnsi="Baskerville" w:cs="Arial"/>
          <w:color w:val="252525"/>
          <w:sz w:val="22"/>
          <w:szCs w:val="22"/>
        </w:rPr>
      </w:pPr>
      <w:r w:rsidRPr="00B503CA">
        <w:rPr>
          <w:rFonts w:ascii="Baskerville" w:hAnsi="Baskerville" w:cs="Arial"/>
          <w:color w:val="252525"/>
          <w:sz w:val="22"/>
          <w:szCs w:val="22"/>
        </w:rPr>
        <w:t xml:space="preserve">Eh bien ! </w:t>
      </w:r>
      <w:proofErr w:type="gramStart"/>
      <w:r w:rsidRPr="00B503CA">
        <w:rPr>
          <w:rFonts w:ascii="Baskerville" w:hAnsi="Baskerville" w:cs="Arial"/>
          <w:color w:val="252525"/>
          <w:sz w:val="22"/>
          <w:szCs w:val="22"/>
        </w:rPr>
        <w:t>reprend</w:t>
      </w:r>
      <w:proofErr w:type="gramEnd"/>
      <w:r w:rsidRPr="00B503CA">
        <w:rPr>
          <w:rFonts w:ascii="Baskerville" w:hAnsi="Baskerville" w:cs="Arial"/>
          <w:color w:val="252525"/>
          <w:sz w:val="22"/>
          <w:szCs w:val="22"/>
        </w:rPr>
        <w:t xml:space="preserve"> en souriant le malin esprit, je te recommande la belle Hélène de Sparte ; avec elle, ajoute-t-il d’un ton ironique, tu pourras converser en grec. » </w:t>
      </w:r>
    </w:p>
    <w:p w14:paraId="4D137D55" w14:textId="187AE6E0" w:rsidR="006D0B20" w:rsidRPr="00B503CA" w:rsidRDefault="006D0B20" w:rsidP="006A70B1">
      <w:pPr>
        <w:pStyle w:val="NormalWeb"/>
        <w:shd w:val="clear" w:color="auto" w:fill="FFFFFF"/>
        <w:spacing w:before="0" w:beforeAutospacing="0" w:after="0" w:afterAutospacing="0" w:line="280" w:lineRule="exact"/>
        <w:ind w:left="142"/>
        <w:jc w:val="both"/>
        <w:rPr>
          <w:rFonts w:ascii="Baskerville" w:hAnsi="Baskerville" w:cs="Arial"/>
          <w:color w:val="252525"/>
          <w:sz w:val="22"/>
          <w:szCs w:val="22"/>
        </w:rPr>
      </w:pPr>
      <w:r w:rsidRPr="00B503CA">
        <w:rPr>
          <w:rFonts w:ascii="Baskerville" w:hAnsi="Baskerville" w:cs="Arial"/>
          <w:color w:val="252525"/>
          <w:sz w:val="22"/>
          <w:szCs w:val="22"/>
        </w:rPr>
        <w:t>Le savant docteur est ravi de la proposition ; il réclame ensuite du démon des charmes corporels et des vêtements magnifiques qui lui permettent de lutter victorieusement avec le chevalier Pâris ; de plus, il lui faut un cheval pour aller sur l’heure à Troie. Son vœu s’accomplit ; (…)</w:t>
      </w:r>
    </w:p>
    <w:p w14:paraId="14633466" w14:textId="77777777" w:rsidR="006A70B1" w:rsidRDefault="006A70B1"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p>
    <w:p w14:paraId="3CDDF74F" w14:textId="0FE3FE6C" w:rsidR="006A70B1" w:rsidRPr="006A70B1" w:rsidRDefault="006A70B1" w:rsidP="006A70B1">
      <w:pPr>
        <w:pStyle w:val="NormalWeb"/>
        <w:shd w:val="clear" w:color="auto" w:fill="FFFFFF"/>
        <w:spacing w:before="0" w:beforeAutospacing="0" w:after="0" w:afterAutospacing="0" w:line="280" w:lineRule="exact"/>
        <w:ind w:firstLine="142"/>
        <w:jc w:val="both"/>
        <w:rPr>
          <w:rFonts w:ascii="Baskerville" w:hAnsi="Baskerville" w:cs="Arial"/>
          <w:i/>
          <w:color w:val="252525"/>
          <w:sz w:val="22"/>
          <w:szCs w:val="22"/>
        </w:rPr>
      </w:pPr>
      <w:r w:rsidRPr="006A70B1">
        <w:rPr>
          <w:rFonts w:ascii="Baskerville" w:hAnsi="Baskerville" w:cs="Arial"/>
          <w:i/>
          <w:color w:val="252525"/>
          <w:sz w:val="22"/>
          <w:szCs w:val="22"/>
        </w:rPr>
        <w:t>Voici la suite du texte qui est une analyse de la légende de Faust</w:t>
      </w:r>
    </w:p>
    <w:p w14:paraId="2A656BC4" w14:textId="77777777" w:rsidR="006A70B1" w:rsidRDefault="006A70B1"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p>
    <w:p w14:paraId="36E17D38" w14:textId="3DF7EA27" w:rsidR="00C36640" w:rsidRDefault="00B503CA"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r w:rsidRPr="00B503CA">
        <w:rPr>
          <w:rFonts w:ascii="Baskerville" w:hAnsi="Baskerville"/>
          <w:noProof/>
          <w:color w:val="000000"/>
          <w:sz w:val="22"/>
          <w:szCs w:val="22"/>
          <w:shd w:val="clear" w:color="auto" w:fill="FFFFFF"/>
          <w:lang w:val="en-US" w:eastAsia="en-US"/>
        </w:rPr>
        <w:drawing>
          <wp:anchor distT="0" distB="0" distL="114300" distR="114300" simplePos="0" relativeHeight="251663360" behindDoc="0" locked="0" layoutInCell="1" allowOverlap="1" wp14:anchorId="31AE2BAE" wp14:editId="4C159976">
            <wp:simplePos x="0" y="0"/>
            <wp:positionH relativeFrom="column">
              <wp:posOffset>4977765</wp:posOffset>
            </wp:positionH>
            <wp:positionV relativeFrom="paragraph">
              <wp:posOffset>31750</wp:posOffset>
            </wp:positionV>
            <wp:extent cx="859790" cy="1084580"/>
            <wp:effectExtent l="0" t="0" r="3810" b="7620"/>
            <wp:wrapSquare wrapText="bothSides"/>
            <wp:docPr id="6" name="Image 6"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zs:f113pvx5547_zrjyr8tc049m0000gn:T:TemporaryItems:images.duckduck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40" w:rsidRPr="00B503CA">
        <w:rPr>
          <w:rFonts w:ascii="Baskerville" w:hAnsi="Baskerville" w:cs="Arial"/>
          <w:noProof/>
          <w:color w:val="252525"/>
          <w:sz w:val="22"/>
          <w:szCs w:val="22"/>
          <w:lang w:val="en-US" w:eastAsia="en-US"/>
        </w:rPr>
        <w:drawing>
          <wp:anchor distT="0" distB="0" distL="114300" distR="114300" simplePos="0" relativeHeight="251659264" behindDoc="0" locked="0" layoutInCell="1" allowOverlap="1" wp14:anchorId="5E7888CB" wp14:editId="651A2230">
            <wp:simplePos x="0" y="0"/>
            <wp:positionH relativeFrom="column">
              <wp:posOffset>31750</wp:posOffset>
            </wp:positionH>
            <wp:positionV relativeFrom="paragraph">
              <wp:posOffset>625475</wp:posOffset>
            </wp:positionV>
            <wp:extent cx="1061085" cy="1402715"/>
            <wp:effectExtent l="0" t="0" r="5715" b="0"/>
            <wp:wrapSquare wrapText="bothSides"/>
            <wp:docPr id="2" name="Image 2"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zs:f113pvx5547_zrjyr8tc049m0000gn:T:TemporaryItems:images.duckduck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08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20" w:rsidRPr="00B503CA">
        <w:rPr>
          <w:rFonts w:ascii="Baskerville" w:hAnsi="Baskerville" w:cs="Arial"/>
          <w:color w:val="252525"/>
          <w:sz w:val="22"/>
          <w:szCs w:val="22"/>
        </w:rPr>
        <w:t>L’apparition de la belle Hélène dans la légende de Faust a une signification importante. Elle caractérise l’époque de la légende, et nous en révèle la pensée la plus intime. Cet idéal éternel de la beauté et des grâces, cette Hélène grecque, que nous voyons un beau matin s’installer en maîtresse dans la maison du docteur Faust à Wittenberg, n’est autre que l’antique Grèce elle-même, l’</w:t>
      </w:r>
      <w:r w:rsidR="00BA6194" w:rsidRPr="00B503CA">
        <w:rPr>
          <w:rFonts w:ascii="Baskerville" w:hAnsi="Baskerville" w:cs="Arial"/>
          <w:i/>
          <w:iCs/>
          <w:color w:val="252525"/>
          <w:sz w:val="22"/>
          <w:szCs w:val="22"/>
        </w:rPr>
        <w:t>hellénisme</w:t>
      </w:r>
      <w:r w:rsidR="006D0B20" w:rsidRPr="00B503CA">
        <w:rPr>
          <w:rStyle w:val="apple-converted-space"/>
          <w:rFonts w:ascii="Baskerville" w:hAnsi="Baskerville" w:cs="Arial"/>
          <w:color w:val="252525"/>
          <w:sz w:val="22"/>
          <w:szCs w:val="22"/>
        </w:rPr>
        <w:t> </w:t>
      </w:r>
      <w:r w:rsidR="006D0B20" w:rsidRPr="00B503CA">
        <w:rPr>
          <w:rFonts w:ascii="Baskerville" w:hAnsi="Baskerville" w:cs="Arial"/>
          <w:color w:val="252525"/>
          <w:sz w:val="22"/>
          <w:szCs w:val="22"/>
        </w:rPr>
        <w:t>conjuré par des incantations magiques et surgissant soudain au cœur de l’Allemagne. Le prodigieux livre qui contenait les plus puissantes de ces formules évocatrices, c’était Homère ; Homère, la vraie, la grande</w:t>
      </w:r>
      <w:r w:rsidR="006D0B20" w:rsidRPr="00B503CA">
        <w:rPr>
          <w:rStyle w:val="apple-converted-space"/>
          <w:rFonts w:ascii="Baskerville" w:hAnsi="Baskerville" w:cs="Arial"/>
          <w:color w:val="252525"/>
          <w:sz w:val="22"/>
          <w:szCs w:val="22"/>
        </w:rPr>
        <w:t> </w:t>
      </w:r>
      <w:r w:rsidR="006D0B20" w:rsidRPr="00B503CA">
        <w:rPr>
          <w:rFonts w:ascii="Baskerville" w:hAnsi="Baskerville" w:cs="Arial"/>
          <w:i/>
          <w:iCs/>
          <w:color w:val="252525"/>
          <w:sz w:val="22"/>
          <w:szCs w:val="22"/>
        </w:rPr>
        <w:t>clé des enfers</w:t>
      </w:r>
      <w:r w:rsidR="006D0B20" w:rsidRPr="00B503CA">
        <w:rPr>
          <w:rFonts w:ascii="Baskerville" w:hAnsi="Baskerville" w:cs="Arial"/>
          <w:color w:val="252525"/>
          <w:sz w:val="22"/>
          <w:szCs w:val="22"/>
        </w:rPr>
        <w:t xml:space="preserve">, qui séduisit, qui ensorcela et Faust et un si grand nombre de ses contemporains. Faust, le Faust historique, aussi bien que celui de la légende, fut un de ces humanistes dont l’enthousiasme propagea en Allemagne la science et l’art des Grecs. </w:t>
      </w:r>
    </w:p>
    <w:p w14:paraId="45882678" w14:textId="77777777" w:rsidR="00A30ACF" w:rsidRDefault="00A30ACF"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p>
    <w:p w14:paraId="1338A47C" w14:textId="0E782B5C" w:rsidR="00A30ACF" w:rsidRDefault="00A30ACF" w:rsidP="006A70B1">
      <w:pPr>
        <w:pStyle w:val="NormalWeb"/>
        <w:shd w:val="clear" w:color="auto" w:fill="FFFFFF"/>
        <w:spacing w:before="0" w:beforeAutospacing="0" w:after="0" w:afterAutospacing="0" w:line="280" w:lineRule="exact"/>
        <w:ind w:firstLine="142"/>
        <w:jc w:val="both"/>
        <w:rPr>
          <w:rFonts w:ascii="Baskerville" w:hAnsi="Baskerville" w:cs="Arial"/>
          <w:i/>
          <w:color w:val="252525"/>
          <w:sz w:val="22"/>
          <w:szCs w:val="22"/>
        </w:rPr>
      </w:pPr>
      <w:r w:rsidRPr="00A30ACF">
        <w:rPr>
          <w:rFonts w:ascii="Baskerville" w:hAnsi="Baskerville" w:cs="Arial"/>
          <w:i/>
          <w:color w:val="252525"/>
          <w:sz w:val="22"/>
          <w:szCs w:val="22"/>
        </w:rPr>
        <w:t xml:space="preserve">L’humanisme </w:t>
      </w:r>
      <w:r>
        <w:rPr>
          <w:rFonts w:ascii="Baskerville" w:hAnsi="Baskerville" w:cs="Arial"/>
          <w:i/>
          <w:color w:val="252525"/>
          <w:sz w:val="22"/>
          <w:szCs w:val="22"/>
        </w:rPr>
        <w:t>à la lumière de Heinrich Heine</w:t>
      </w:r>
      <w:r w:rsidR="00C67A3C">
        <w:rPr>
          <w:rFonts w:ascii="Baskerville" w:hAnsi="Baskerville" w:cs="Arial"/>
          <w:i/>
          <w:color w:val="252525"/>
          <w:sz w:val="22"/>
          <w:szCs w:val="22"/>
        </w:rPr>
        <w:t>. L’humanisme est v</w:t>
      </w:r>
      <w:r w:rsidR="00EF0CBA">
        <w:rPr>
          <w:rFonts w:ascii="Baskerville" w:hAnsi="Baskerville" w:cs="Arial"/>
          <w:i/>
          <w:color w:val="252525"/>
          <w:sz w:val="22"/>
          <w:szCs w:val="22"/>
        </w:rPr>
        <w:t>u comme un contre-christianisme, sur fond d’hellénisme avec Homère en tête, comme une « contre-Bible ».</w:t>
      </w:r>
    </w:p>
    <w:p w14:paraId="6920D958" w14:textId="77777777" w:rsidR="00A30ACF" w:rsidRPr="00A30ACF" w:rsidRDefault="00A30ACF" w:rsidP="006A70B1">
      <w:pPr>
        <w:pStyle w:val="NormalWeb"/>
        <w:shd w:val="clear" w:color="auto" w:fill="FFFFFF"/>
        <w:spacing w:before="0" w:beforeAutospacing="0" w:after="0" w:afterAutospacing="0" w:line="280" w:lineRule="exact"/>
        <w:ind w:firstLine="142"/>
        <w:jc w:val="both"/>
        <w:rPr>
          <w:rFonts w:ascii="Baskerville" w:hAnsi="Baskerville" w:cs="Arial"/>
          <w:i/>
          <w:color w:val="252525"/>
          <w:sz w:val="22"/>
          <w:szCs w:val="22"/>
        </w:rPr>
      </w:pPr>
    </w:p>
    <w:p w14:paraId="7FBBF9B8" w14:textId="68E10F72" w:rsidR="006D0B20" w:rsidRPr="00B503CA" w:rsidRDefault="00C36640" w:rsidP="006A70B1">
      <w:pPr>
        <w:pStyle w:val="NormalWeb"/>
        <w:shd w:val="clear" w:color="auto" w:fill="FFFFFF"/>
        <w:spacing w:before="0" w:beforeAutospacing="0" w:after="0" w:afterAutospacing="0" w:line="280" w:lineRule="exact"/>
        <w:ind w:firstLine="142"/>
        <w:jc w:val="both"/>
        <w:rPr>
          <w:rFonts w:ascii="Baskerville" w:hAnsi="Baskerville" w:cs="Arial"/>
          <w:color w:val="252525"/>
          <w:sz w:val="22"/>
          <w:szCs w:val="22"/>
        </w:rPr>
      </w:pPr>
      <w:r w:rsidRPr="00B503CA">
        <w:rPr>
          <w:rFonts w:ascii="Baskerville" w:hAnsi="Baskerville" w:cs="Arial"/>
          <w:color w:val="252525"/>
          <w:sz w:val="22"/>
          <w:szCs w:val="22"/>
        </w:rPr>
        <w:t>L</w:t>
      </w:r>
      <w:r w:rsidR="006D0B20" w:rsidRPr="00B503CA">
        <w:rPr>
          <w:rFonts w:ascii="Baskerville" w:hAnsi="Baskerville" w:cs="Arial"/>
          <w:color w:val="252525"/>
          <w:sz w:val="22"/>
          <w:szCs w:val="22"/>
        </w:rPr>
        <w:t>e siège de cette propagande alors était Rome, Rome où les prélats les plus éminents relevaient les autels des anciennes divinités, Rome où le pape lui-même leur vouait un culte particulier, cumulant, à l’instar de Constantin, son prédécesseur, l’office de grand pontife du paganisme et la dignité de chef suprême de l’église chrétienne. C’était l’époque de la résurrection du monde antique ; disons mieux, en nous servant du terme usité, c’était l’époque de la</w:t>
      </w:r>
      <w:r w:rsidR="006D0B20" w:rsidRPr="00B503CA">
        <w:rPr>
          <w:rStyle w:val="apple-converted-space"/>
          <w:rFonts w:ascii="Baskerville" w:hAnsi="Baskerville" w:cs="Arial"/>
          <w:color w:val="252525"/>
          <w:sz w:val="22"/>
          <w:szCs w:val="22"/>
        </w:rPr>
        <w:t> </w:t>
      </w:r>
      <w:r w:rsidR="006D0B20" w:rsidRPr="00B503CA">
        <w:rPr>
          <w:rFonts w:ascii="Baskerville" w:hAnsi="Baskerville" w:cs="Arial"/>
          <w:i/>
          <w:iCs/>
          <w:color w:val="252525"/>
          <w:sz w:val="22"/>
          <w:szCs w:val="22"/>
        </w:rPr>
        <w:t>renaissance</w:t>
      </w:r>
      <w:r w:rsidR="006D0B20" w:rsidRPr="00B503CA">
        <w:rPr>
          <w:rFonts w:ascii="Baskerville" w:hAnsi="Baskerville" w:cs="Arial"/>
          <w:color w:val="252525"/>
          <w:sz w:val="22"/>
          <w:szCs w:val="22"/>
        </w:rPr>
        <w:t xml:space="preserve">. Cette renaissance put fleurir et régner en Italie bien plus facilement qu’en Allemagne ; chez nous, en effet, elle rencontra en face d’elle la résurrection de l’esprit juif, la renaissance évangélique, qui, produite vers le même temps par Luther et sa </w:t>
      </w:r>
      <w:r w:rsidR="006D0B20" w:rsidRPr="00B503CA">
        <w:rPr>
          <w:rFonts w:ascii="Baskerville" w:hAnsi="Baskerville" w:cs="Arial"/>
          <w:color w:val="252525"/>
          <w:sz w:val="22"/>
          <w:szCs w:val="22"/>
        </w:rPr>
        <w:lastRenderedPageBreak/>
        <w:t>traduction des Écritures, déployait avec ardeur son fanatisme iconoclaste. Chose singulière, les deux grands livres de l’humanité qu’on avait vus, il y a une douzaine de siècles, s’acharner au combat, puis, comme exténués d’efforts, disparaître de l’arène pendant tout le moyen-âge, Homère et la Bible, on les voit, au début du XVI</w:t>
      </w:r>
      <w:r w:rsidR="006D0B20" w:rsidRPr="008D5BC7">
        <w:rPr>
          <w:rFonts w:ascii="Baskerville" w:hAnsi="Baskerville" w:cs="Arial"/>
          <w:color w:val="252525"/>
          <w:sz w:val="22"/>
          <w:szCs w:val="22"/>
          <w:vertAlign w:val="superscript"/>
        </w:rPr>
        <w:t>e</w:t>
      </w:r>
      <w:r w:rsidR="006D0B20" w:rsidRPr="00B503CA">
        <w:rPr>
          <w:rFonts w:ascii="Baskerville" w:hAnsi="Baskerville" w:cs="Arial"/>
          <w:color w:val="252525"/>
          <w:sz w:val="22"/>
          <w:szCs w:val="22"/>
        </w:rPr>
        <w:t xml:space="preserve"> siècle, se reprendre corps à corps dans une lutte nouvelle ! Si j’ai dit</w:t>
      </w:r>
      <w:r w:rsidR="006D0B20" w:rsidRPr="00B503CA">
        <w:rPr>
          <w:rStyle w:val="apple-converted-space"/>
          <w:rFonts w:ascii="Baskerville" w:hAnsi="Baskerville" w:cs="Arial"/>
          <w:color w:val="252525"/>
          <w:sz w:val="22"/>
          <w:szCs w:val="22"/>
        </w:rPr>
        <w:t> </w:t>
      </w:r>
      <w:r w:rsidR="006D0B20" w:rsidRPr="00B503CA">
        <w:rPr>
          <w:rFonts w:ascii="Baskerville" w:hAnsi="Baskerville" w:cs="Arial"/>
          <w:color w:val="252525"/>
          <w:sz w:val="22"/>
          <w:szCs w:val="22"/>
        </w:rPr>
        <w:t>plus haut que la révolte du réalisme, du sensualisme, c’est-à-dire du besoin des jouissances de la vie terrestre contre l’ascétisme spiritualiste de la religion chrétienne, constitue l’essence même et l’idée de la légende de Faust, je ferai observer ici que cette tendance sensualiste et réaliste des penseurs de l’époque a dû se manifester subitement à l’aspect des monuments de l’art antique, à l’étude d’Homère, et notamment des œuvres originales de Platon et d’Aristote. Faust, — c’est la tradition qui le rapporte expressément, — s’était si bien identifié avec ces deux derniers philosophes, que si un jour, disait-il, ils venaient à se perdre, il se faisait fort de les rétablir de mémoire, comme Esdras refit la loi du Seigneur. Faust, toujours selon la tradition, s’était si bien épris d’Homère, qu’il faisait apparaître en personne aux yeux des étudiants qui suivaient son cours sur ce poète l</w:t>
      </w:r>
      <w:r w:rsidR="00857B04" w:rsidRPr="00B503CA">
        <w:rPr>
          <w:rFonts w:ascii="Baskerville" w:hAnsi="Baskerville" w:cs="Arial"/>
          <w:color w:val="252525"/>
          <w:sz w:val="22"/>
          <w:szCs w:val="22"/>
        </w:rPr>
        <w:t>es héros de la guerre de Troie.</w:t>
      </w:r>
      <w:r w:rsidR="006D0B20" w:rsidRPr="00B503CA">
        <w:rPr>
          <w:rFonts w:ascii="Baskerville" w:hAnsi="Baskerville" w:cs="Arial"/>
          <w:color w:val="252525"/>
          <w:sz w:val="22"/>
          <w:szCs w:val="22"/>
        </w:rPr>
        <w:t xml:space="preserve"> </w:t>
      </w:r>
    </w:p>
    <w:p w14:paraId="4D5AF2E8" w14:textId="3FB28994" w:rsidR="0051482B" w:rsidRPr="00B503CA" w:rsidRDefault="0051482B" w:rsidP="0051482B">
      <w:pPr>
        <w:shd w:val="clear" w:color="auto" w:fill="FFFFFF"/>
        <w:spacing w:after="0" w:line="240" w:lineRule="auto"/>
        <w:rPr>
          <w:rFonts w:ascii="Baskerville" w:hAnsi="Baskerville" w:cs="Arial"/>
          <w:color w:val="000000"/>
          <w:lang w:eastAsia="fr-FR"/>
        </w:rPr>
      </w:pPr>
    </w:p>
    <w:p w14:paraId="35258054" w14:textId="77777777" w:rsidR="0051482B" w:rsidRPr="00B503CA" w:rsidRDefault="0051482B" w:rsidP="0051482B">
      <w:pPr>
        <w:shd w:val="clear" w:color="auto" w:fill="FFFFFF"/>
        <w:spacing w:after="0" w:line="240" w:lineRule="auto"/>
        <w:rPr>
          <w:rFonts w:ascii="Baskerville" w:hAnsi="Baskerville" w:cs="Arial"/>
          <w:color w:val="000000"/>
          <w:lang w:eastAsia="fr-FR"/>
        </w:rPr>
      </w:pPr>
    </w:p>
    <w:p w14:paraId="23B48364" w14:textId="25142E6B" w:rsidR="00C753E9" w:rsidRDefault="00C753E9" w:rsidP="00C753E9">
      <w:pPr>
        <w:pStyle w:val="ListParagraph"/>
        <w:numPr>
          <w:ilvl w:val="0"/>
          <w:numId w:val="2"/>
        </w:numPr>
        <w:shd w:val="clear" w:color="auto" w:fill="FFFFFF"/>
        <w:spacing w:after="0" w:line="240" w:lineRule="auto"/>
        <w:rPr>
          <w:rFonts w:ascii="Baskerville" w:hAnsi="Baskerville" w:cs="Arial"/>
          <w:color w:val="000000"/>
          <w:lang w:eastAsia="fr-FR"/>
        </w:rPr>
      </w:pPr>
      <w:proofErr w:type="spellStart"/>
      <w:r w:rsidRPr="00B503CA">
        <w:rPr>
          <w:rFonts w:ascii="Baskerville" w:hAnsi="Baskerville" w:cs="Arial"/>
          <w:color w:val="000000"/>
          <w:lang w:eastAsia="fr-FR"/>
        </w:rPr>
        <w:t>Astaroth</w:t>
      </w:r>
      <w:proofErr w:type="spellEnd"/>
      <w:r w:rsidRPr="00B503CA">
        <w:rPr>
          <w:rFonts w:ascii="Baskerville" w:hAnsi="Baskerville" w:cs="Arial"/>
          <w:color w:val="000000"/>
          <w:lang w:eastAsia="fr-FR"/>
        </w:rPr>
        <w:t xml:space="preserve"> est le démon qui vient tenter Faust et lui proposer le pacte satanique</w:t>
      </w:r>
    </w:p>
    <w:p w14:paraId="6170C85A" w14:textId="7307984E" w:rsidR="008D5BC7" w:rsidRPr="00B503CA" w:rsidRDefault="008D5BC7" w:rsidP="00C753E9">
      <w:pPr>
        <w:pStyle w:val="ListParagraph"/>
        <w:numPr>
          <w:ilvl w:val="0"/>
          <w:numId w:val="2"/>
        </w:numPr>
        <w:shd w:val="clear" w:color="auto" w:fill="FFFFFF"/>
        <w:spacing w:after="0" w:line="240" w:lineRule="auto"/>
        <w:rPr>
          <w:rFonts w:ascii="Baskerville" w:hAnsi="Baskerville" w:cs="Arial"/>
          <w:color w:val="000000"/>
          <w:lang w:eastAsia="fr-FR"/>
        </w:rPr>
      </w:pPr>
      <w:r>
        <w:rPr>
          <w:rFonts w:ascii="Baskerville" w:hAnsi="Baskerville" w:cs="Arial"/>
          <w:color w:val="000000"/>
          <w:lang w:eastAsia="fr-FR"/>
        </w:rPr>
        <w:t>Judith est le personnage qui dans la Bible coupe la tête d’Holopherne (voir menu Bible)</w:t>
      </w:r>
    </w:p>
    <w:p w14:paraId="124594F8" w14:textId="77777777" w:rsidR="00C753E9" w:rsidRPr="00B503CA" w:rsidRDefault="00C753E9" w:rsidP="00C753E9">
      <w:pPr>
        <w:shd w:val="clear" w:color="auto" w:fill="FFFFFF"/>
        <w:spacing w:after="0" w:line="240" w:lineRule="auto"/>
        <w:rPr>
          <w:rFonts w:ascii="Baskerville" w:hAnsi="Baskerville" w:cs="Arial"/>
          <w:color w:val="000000"/>
          <w:lang w:eastAsia="fr-FR"/>
        </w:rPr>
      </w:pPr>
    </w:p>
    <w:p w14:paraId="3C0B5474" w14:textId="77777777" w:rsidR="00B503CA" w:rsidRPr="00B503CA" w:rsidRDefault="00B503CA" w:rsidP="00C753E9">
      <w:pPr>
        <w:shd w:val="clear" w:color="auto" w:fill="FFFFFF"/>
        <w:spacing w:after="0" w:line="240" w:lineRule="auto"/>
        <w:rPr>
          <w:rFonts w:ascii="Baskerville" w:hAnsi="Baskerville" w:cs="Arial"/>
          <w:color w:val="000000"/>
          <w:lang w:eastAsia="fr-FR"/>
        </w:rPr>
      </w:pPr>
    </w:p>
    <w:p w14:paraId="55334A4C" w14:textId="77777777" w:rsidR="00C753E9" w:rsidRPr="00B503CA" w:rsidRDefault="00C753E9" w:rsidP="00D66763">
      <w:pPr>
        <w:spacing w:after="0" w:line="240" w:lineRule="auto"/>
        <w:jc w:val="both"/>
        <w:rPr>
          <w:rFonts w:ascii="Baskerville" w:eastAsia="Times New Roman" w:hAnsi="Baskerville" w:cs="Times New Roman"/>
          <w:b/>
          <w:color w:val="000000"/>
          <w:shd w:val="clear" w:color="auto" w:fill="FFFFFF"/>
        </w:rPr>
      </w:pPr>
    </w:p>
    <w:p w14:paraId="0744BA43" w14:textId="77777777" w:rsidR="004C5067" w:rsidRPr="004C5067" w:rsidRDefault="004C5067" w:rsidP="00D66763">
      <w:pPr>
        <w:spacing w:after="0" w:line="240" w:lineRule="auto"/>
        <w:jc w:val="both"/>
        <w:rPr>
          <w:rFonts w:ascii="Baskerville" w:eastAsia="Times New Roman" w:hAnsi="Baskerville" w:cs="Times New Roman"/>
          <w:color w:val="000000"/>
          <w:shd w:val="clear" w:color="auto" w:fill="FFFFFF"/>
        </w:rPr>
      </w:pPr>
      <w:r w:rsidRPr="004C5067">
        <w:rPr>
          <w:rFonts w:ascii="Baskerville" w:eastAsia="Times New Roman" w:hAnsi="Baskerville" w:cs="Times New Roman"/>
          <w:color w:val="000000"/>
          <w:shd w:val="clear" w:color="auto" w:fill="FFFFFF"/>
        </w:rPr>
        <w:t>TEXTE 2</w:t>
      </w:r>
    </w:p>
    <w:p w14:paraId="3EADC06E" w14:textId="77777777" w:rsidR="004C5067" w:rsidRDefault="004C5067" w:rsidP="00D66763">
      <w:pPr>
        <w:spacing w:after="0" w:line="240" w:lineRule="auto"/>
        <w:jc w:val="both"/>
        <w:rPr>
          <w:rFonts w:ascii="Baskerville" w:eastAsia="Times New Roman" w:hAnsi="Baskerville" w:cs="Times New Roman"/>
          <w:color w:val="000000"/>
          <w:shd w:val="clear" w:color="auto" w:fill="FFFFFF"/>
        </w:rPr>
      </w:pPr>
    </w:p>
    <w:p w14:paraId="5B804C87" w14:textId="08FBCB2A" w:rsidR="0051482B" w:rsidRDefault="0051482B" w:rsidP="00D66763">
      <w:pPr>
        <w:spacing w:after="0" w:line="240" w:lineRule="auto"/>
        <w:jc w:val="both"/>
        <w:rPr>
          <w:rFonts w:ascii="Baskerville" w:eastAsia="Times New Roman" w:hAnsi="Baskerville" w:cs="Times New Roman"/>
          <w:b/>
          <w:color w:val="000000"/>
          <w:shd w:val="clear" w:color="auto" w:fill="FFFFFF"/>
        </w:rPr>
      </w:pPr>
      <w:r w:rsidRPr="00381C1E">
        <w:rPr>
          <w:rFonts w:ascii="Baskerville" w:eastAsia="Times New Roman" w:hAnsi="Baskerville" w:cs="Times New Roman"/>
          <w:b/>
          <w:color w:val="000000"/>
          <w:shd w:val="clear" w:color="auto" w:fill="FFFFFF"/>
        </w:rPr>
        <w:t xml:space="preserve">Chateaubriand, </w:t>
      </w:r>
      <w:r w:rsidRPr="00381C1E">
        <w:rPr>
          <w:rStyle w:val="Emphasis"/>
          <w:rFonts w:ascii="Baskerville" w:eastAsia="Times New Roman" w:hAnsi="Baskerville" w:cs="Times New Roman"/>
          <w:b/>
          <w:color w:val="000000"/>
          <w:shd w:val="clear" w:color="auto" w:fill="FFFFFF"/>
        </w:rPr>
        <w:t>Génie du Christianisme </w:t>
      </w:r>
      <w:r w:rsidRPr="00381C1E">
        <w:rPr>
          <w:rFonts w:ascii="Baskerville" w:eastAsia="Times New Roman" w:hAnsi="Baskerville" w:cs="Times New Roman"/>
          <w:b/>
          <w:color w:val="000000"/>
          <w:shd w:val="clear" w:color="auto" w:fill="FFFFFF"/>
        </w:rPr>
        <w:t>; Deuxième Partie - Poétique du Christianisme ; Livre 5 - La Bible et Homère ; Chapitre III - Parallèle de la Bible et d’Homère.</w:t>
      </w:r>
    </w:p>
    <w:p w14:paraId="3021A015" w14:textId="77777777" w:rsidR="008F7BA3" w:rsidRDefault="008F7BA3" w:rsidP="00D66763">
      <w:pPr>
        <w:spacing w:after="0" w:line="240" w:lineRule="auto"/>
        <w:jc w:val="both"/>
        <w:rPr>
          <w:rFonts w:ascii="Baskerville" w:eastAsia="Times New Roman" w:hAnsi="Baskerville" w:cs="Times New Roman"/>
          <w:b/>
          <w:color w:val="000000"/>
          <w:shd w:val="clear" w:color="auto" w:fill="FFFFFF"/>
        </w:rPr>
      </w:pPr>
    </w:p>
    <w:p w14:paraId="150719ED" w14:textId="6D47DDB7" w:rsidR="008F7BA3" w:rsidRDefault="008F7BA3" w:rsidP="00D66763">
      <w:pPr>
        <w:spacing w:after="0" w:line="240" w:lineRule="auto"/>
        <w:jc w:val="both"/>
        <w:rPr>
          <w:rFonts w:ascii="Baskerville" w:eastAsia="Times New Roman" w:hAnsi="Baskerville" w:cs="Times New Roman"/>
          <w:i/>
          <w:color w:val="000000"/>
          <w:shd w:val="clear" w:color="auto" w:fill="FFFFFF"/>
        </w:rPr>
      </w:pPr>
      <w:r w:rsidRPr="008F7BA3">
        <w:rPr>
          <w:rFonts w:ascii="Baskerville" w:eastAsia="Times New Roman" w:hAnsi="Baskerville" w:cs="Times New Roman"/>
          <w:i/>
          <w:color w:val="000000"/>
          <w:shd w:val="clear" w:color="auto" w:fill="FFFFFF"/>
        </w:rPr>
        <w:t>Ici, c’est une « défense et illustration » de la Bib</w:t>
      </w:r>
      <w:r>
        <w:rPr>
          <w:rFonts w:ascii="Baskerville" w:eastAsia="Times New Roman" w:hAnsi="Baskerville" w:cs="Times New Roman"/>
          <w:i/>
          <w:color w:val="000000"/>
          <w:shd w:val="clear" w:color="auto" w:fill="FFFFFF"/>
        </w:rPr>
        <w:t>le et une « apologie »</w:t>
      </w:r>
      <w:r w:rsidR="0023024A">
        <w:rPr>
          <w:rFonts w:ascii="Baskerville" w:eastAsia="Times New Roman" w:hAnsi="Baskerville" w:cs="Times New Roman"/>
          <w:i/>
          <w:color w:val="000000"/>
          <w:shd w:val="clear" w:color="auto" w:fill="FFFFFF"/>
        </w:rPr>
        <w:t xml:space="preserve"> de l’Ancien Testament. L’idée est la même que dans le texte précédent : deux mondes, deux sphères s’opposent à travers ces deux grandes œuvres qui ont constitué le socle même de la culture européenne.</w:t>
      </w:r>
    </w:p>
    <w:p w14:paraId="455F1F7D" w14:textId="77777777" w:rsidR="0023024A" w:rsidRPr="008F7BA3" w:rsidRDefault="0023024A" w:rsidP="00D66763">
      <w:pPr>
        <w:spacing w:after="0" w:line="240" w:lineRule="auto"/>
        <w:jc w:val="both"/>
        <w:rPr>
          <w:rFonts w:ascii="Baskerville" w:eastAsia="Times New Roman" w:hAnsi="Baskerville" w:cs="Times New Roman"/>
          <w:i/>
        </w:rPr>
      </w:pPr>
    </w:p>
    <w:p w14:paraId="5CAC975D" w14:textId="77777777" w:rsidR="00546ABF" w:rsidRPr="00B503CA" w:rsidRDefault="0051482B" w:rsidP="00D66763">
      <w:pPr>
        <w:shd w:val="clear" w:color="auto" w:fill="FFFFFF"/>
        <w:spacing w:after="0" w:line="240" w:lineRule="auto"/>
        <w:jc w:val="both"/>
        <w:rPr>
          <w:rFonts w:ascii="Baskerville" w:hAnsi="Baskerville" w:cs="Arial"/>
          <w:color w:val="000000"/>
          <w:lang w:eastAsia="fr-FR"/>
        </w:rPr>
      </w:pPr>
      <w:r w:rsidRPr="00B503CA">
        <w:rPr>
          <w:rFonts w:ascii="Baskerville" w:hAnsi="Baskerville" w:cs="Arial"/>
          <w:color w:val="000000"/>
          <w:lang w:eastAsia="fr-FR"/>
        </w:rPr>
        <w:t xml:space="preserve"> </w:t>
      </w:r>
    </w:p>
    <w:p w14:paraId="6AC54F5B" w14:textId="512C5074" w:rsidR="0051482B" w:rsidRPr="004C5067" w:rsidRDefault="00AB0A7D" w:rsidP="004C5067">
      <w:pPr>
        <w:shd w:val="clear" w:color="auto" w:fill="FFFFFF"/>
        <w:spacing w:after="0" w:line="280" w:lineRule="exact"/>
        <w:jc w:val="both"/>
        <w:rPr>
          <w:rFonts w:ascii="Baskerville" w:hAnsi="Baskerville" w:cs="Arial"/>
          <w:color w:val="000000"/>
          <w:lang w:eastAsia="fr-FR"/>
        </w:rPr>
      </w:pPr>
      <w:r w:rsidRPr="004C5067">
        <w:rPr>
          <w:rFonts w:ascii="Baskerville" w:hAnsi="Baskerville" w:cs="Arial"/>
          <w:noProof/>
          <w:color w:val="000000"/>
          <w:lang w:val="en-US"/>
        </w:rPr>
        <w:drawing>
          <wp:anchor distT="0" distB="0" distL="114300" distR="114300" simplePos="0" relativeHeight="251662336" behindDoc="0" locked="0" layoutInCell="1" allowOverlap="1" wp14:anchorId="6305153B" wp14:editId="1CB8A70B">
            <wp:simplePos x="0" y="0"/>
            <wp:positionH relativeFrom="column">
              <wp:posOffset>-114300</wp:posOffset>
            </wp:positionH>
            <wp:positionV relativeFrom="paragraph">
              <wp:posOffset>45085</wp:posOffset>
            </wp:positionV>
            <wp:extent cx="1496060" cy="794385"/>
            <wp:effectExtent l="0" t="0" r="2540" b="0"/>
            <wp:wrapSquare wrapText="bothSides"/>
            <wp:docPr id="5" name="Image 5"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zs:f113pvx5547_zrjyr8tc049m0000gn:T:TemporaryItems:images.duckduck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2B" w:rsidRPr="004C5067">
        <w:rPr>
          <w:rFonts w:ascii="Baskerville" w:hAnsi="Baskerville" w:cs="Arial"/>
          <w:color w:val="000000"/>
          <w:lang w:eastAsia="fr-FR"/>
        </w:rPr>
        <w:t>On a tant écrit sur la Bible, on l’a tant de fois commentée, que le seul moyen qui reste peut-être aujourd’hui d’en faire sentir les beautés, c’est de la rapprocher des poèmes d’Homère. Consacrés par les siècles, ces poèmes ont reçu du temps une espèce de sainteté qui justifie le parallèle et écarte toute idée de profanation. Si Jacob et Nestor</w:t>
      </w:r>
      <w:r w:rsidR="002309DF" w:rsidRPr="004C5067">
        <w:rPr>
          <w:rFonts w:ascii="Baskerville" w:hAnsi="Baskerville" w:cs="Arial"/>
          <w:color w:val="000000"/>
          <w:lang w:eastAsia="fr-FR"/>
        </w:rPr>
        <w:t xml:space="preserve"> *</w:t>
      </w:r>
      <w:r w:rsidR="0051482B" w:rsidRPr="004C5067">
        <w:rPr>
          <w:rFonts w:ascii="Baskerville" w:hAnsi="Baskerville" w:cs="Arial"/>
          <w:color w:val="000000"/>
          <w:lang w:eastAsia="fr-FR"/>
        </w:rPr>
        <w:t xml:space="preserve"> ne sont pas de la même famille, ils sont du moins l’un et l’autre des premiers jours du monde, et l’on sent qu’il n’y a qu’un pas des palais de Pylos aux tentes d’</w:t>
      </w:r>
      <w:r w:rsidR="00546ABF" w:rsidRPr="004C5067">
        <w:rPr>
          <w:rFonts w:ascii="Baskerville" w:hAnsi="Baskerville" w:cs="Arial"/>
          <w:color w:val="000000"/>
          <w:lang w:eastAsia="fr-FR"/>
        </w:rPr>
        <w:t>Ismaël</w:t>
      </w:r>
      <w:r w:rsidR="0051482B" w:rsidRPr="004C5067">
        <w:rPr>
          <w:rFonts w:ascii="Baskerville" w:hAnsi="Baskerville" w:cs="Arial"/>
          <w:color w:val="000000"/>
          <w:lang w:eastAsia="fr-FR"/>
        </w:rPr>
        <w:t>.</w:t>
      </w:r>
    </w:p>
    <w:p w14:paraId="54E44BBF" w14:textId="1F18FD43" w:rsidR="0051482B" w:rsidRPr="004C5067" w:rsidRDefault="00AB0A7D" w:rsidP="004C5067">
      <w:pPr>
        <w:shd w:val="clear" w:color="auto" w:fill="FFFFFF"/>
        <w:spacing w:after="0" w:line="280" w:lineRule="exact"/>
        <w:jc w:val="both"/>
        <w:rPr>
          <w:rFonts w:ascii="Baskerville" w:hAnsi="Baskerville" w:cs="Arial"/>
          <w:color w:val="000000"/>
          <w:lang w:eastAsia="fr-FR"/>
        </w:rPr>
      </w:pPr>
      <w:r w:rsidRPr="004C5067">
        <w:rPr>
          <w:rFonts w:ascii="Baskerville" w:hAnsi="Baskerville" w:cs="Arial"/>
          <w:noProof/>
          <w:color w:val="000000"/>
          <w:lang w:val="en-US"/>
        </w:rPr>
        <w:drawing>
          <wp:anchor distT="0" distB="0" distL="114300" distR="114300" simplePos="0" relativeHeight="251664384" behindDoc="0" locked="0" layoutInCell="1" allowOverlap="1" wp14:anchorId="61367276" wp14:editId="413F3002">
            <wp:simplePos x="0" y="0"/>
            <wp:positionH relativeFrom="column">
              <wp:posOffset>4380865</wp:posOffset>
            </wp:positionH>
            <wp:positionV relativeFrom="paragraph">
              <wp:posOffset>173355</wp:posOffset>
            </wp:positionV>
            <wp:extent cx="1454150" cy="966470"/>
            <wp:effectExtent l="0" t="0" r="0" b="0"/>
            <wp:wrapSquare wrapText="bothSides"/>
            <wp:docPr id="7" name="Image 7" descr="Macintosh HD:private:var:folders:zs:f113pvx5547_zrjyr8tc049m0000gn:T:TemporaryItems:images.duckduck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zs:f113pvx5547_zrjyr8tc049m0000gn:T:TemporaryItems:images.duckduck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2B" w:rsidRPr="004C5067">
        <w:rPr>
          <w:rFonts w:ascii="Baskerville" w:hAnsi="Baskerville" w:cs="Arial"/>
          <w:color w:val="000000"/>
          <w:lang w:eastAsia="fr-FR"/>
        </w:rPr>
        <w:t>Comment la Bible est plus belle qu’Homère ; quelles sont les ressemblances et les différences qui existent entre elle et les ouvrages de ce poète : voilà ce que nous nous proposons de rechercher dans ces chapitres. Considérons ces deux monuments, qui, comme deux colonnes solitaires, sont placés à la porte du temple du Génie et en forment le simple péristyle.</w:t>
      </w:r>
    </w:p>
    <w:p w14:paraId="553AC856" w14:textId="170ED9E4" w:rsidR="0051482B" w:rsidRPr="004C5067" w:rsidRDefault="0051482B" w:rsidP="004C5067">
      <w:pPr>
        <w:shd w:val="clear" w:color="auto" w:fill="FFFFFF"/>
        <w:spacing w:after="0" w:line="280" w:lineRule="exact"/>
        <w:jc w:val="both"/>
        <w:rPr>
          <w:rFonts w:ascii="Baskerville" w:hAnsi="Baskerville" w:cs="Arial"/>
          <w:color w:val="000000"/>
          <w:lang w:eastAsia="fr-FR"/>
        </w:rPr>
      </w:pPr>
      <w:r w:rsidRPr="004C5067">
        <w:rPr>
          <w:rFonts w:ascii="Baskerville" w:hAnsi="Baskerville" w:cs="Arial"/>
          <w:color w:val="000000"/>
          <w:lang w:eastAsia="fr-FR"/>
        </w:rPr>
        <w:t>Et d’abord, c’est une chose assez curieuse de voir lutter de front les deux langues les plus anciennes du monde ; langues dans lesquelles Moïse et Lycurgue</w:t>
      </w:r>
      <w:r w:rsidR="002309DF" w:rsidRPr="004C5067">
        <w:rPr>
          <w:rFonts w:ascii="Baskerville" w:hAnsi="Baskerville" w:cs="Arial"/>
          <w:color w:val="000000"/>
          <w:lang w:eastAsia="fr-FR"/>
        </w:rPr>
        <w:t>*</w:t>
      </w:r>
      <w:r w:rsidRPr="004C5067">
        <w:rPr>
          <w:rFonts w:ascii="Baskerville" w:hAnsi="Baskerville" w:cs="Arial"/>
          <w:color w:val="000000"/>
          <w:lang w:eastAsia="fr-FR"/>
        </w:rPr>
        <w:t xml:space="preserve"> ont publié leurs lois, et Pindare</w:t>
      </w:r>
      <w:r w:rsidR="0038543D">
        <w:rPr>
          <w:rFonts w:ascii="Baskerville" w:hAnsi="Baskerville" w:cs="Arial"/>
          <w:color w:val="000000"/>
          <w:lang w:eastAsia="fr-FR"/>
        </w:rPr>
        <w:t>*</w:t>
      </w:r>
      <w:r w:rsidRPr="004C5067">
        <w:rPr>
          <w:rFonts w:ascii="Baskerville" w:hAnsi="Baskerville" w:cs="Arial"/>
          <w:color w:val="000000"/>
          <w:lang w:eastAsia="fr-FR"/>
        </w:rPr>
        <w:t xml:space="preserve"> et David</w:t>
      </w:r>
      <w:r w:rsidR="0038543D">
        <w:rPr>
          <w:rFonts w:ascii="Baskerville" w:hAnsi="Baskerville" w:cs="Arial"/>
          <w:color w:val="000000"/>
          <w:lang w:eastAsia="fr-FR"/>
        </w:rPr>
        <w:t>*</w:t>
      </w:r>
      <w:r w:rsidRPr="004C5067">
        <w:rPr>
          <w:rFonts w:ascii="Baskerville" w:hAnsi="Baskerville" w:cs="Arial"/>
          <w:color w:val="000000"/>
          <w:lang w:eastAsia="fr-FR"/>
        </w:rPr>
        <w:t xml:space="preserve"> chanté leurs hymnes.</w:t>
      </w:r>
    </w:p>
    <w:p w14:paraId="7CC37E00" w14:textId="7911B77A" w:rsidR="008F7BA3" w:rsidRPr="00B503CA" w:rsidRDefault="0051482B" w:rsidP="00D66763">
      <w:pPr>
        <w:shd w:val="clear" w:color="auto" w:fill="FFFFFF"/>
        <w:spacing w:after="0" w:line="240" w:lineRule="auto"/>
        <w:jc w:val="both"/>
        <w:rPr>
          <w:rFonts w:ascii="Baskerville" w:hAnsi="Baskerville" w:cs="Arial"/>
          <w:color w:val="000000"/>
          <w:lang w:eastAsia="fr-FR"/>
        </w:rPr>
      </w:pPr>
      <w:r w:rsidRPr="00B503CA">
        <w:rPr>
          <w:rFonts w:ascii="Baskerville" w:hAnsi="Baskerville" w:cs="Arial"/>
          <w:color w:val="000000"/>
          <w:lang w:eastAsia="fr-FR"/>
        </w:rPr>
        <w:t> </w:t>
      </w:r>
      <w:bookmarkStart w:id="0" w:name="_GoBack"/>
      <w:bookmarkEnd w:id="0"/>
    </w:p>
    <w:p w14:paraId="696811DC" w14:textId="77777777" w:rsidR="00510A3B" w:rsidRDefault="00510A3B" w:rsidP="0051482B">
      <w:pPr>
        <w:spacing w:after="0" w:line="240" w:lineRule="auto"/>
        <w:rPr>
          <w:rFonts w:ascii="Baskerville" w:hAnsi="Baskerville"/>
        </w:rPr>
      </w:pPr>
    </w:p>
    <w:p w14:paraId="2C175D24" w14:textId="7DD46D54" w:rsidR="002309DF" w:rsidRPr="002309DF" w:rsidRDefault="002309DF" w:rsidP="002309DF">
      <w:pPr>
        <w:pStyle w:val="ListParagraph"/>
        <w:numPr>
          <w:ilvl w:val="0"/>
          <w:numId w:val="2"/>
        </w:numPr>
        <w:spacing w:after="0" w:line="240" w:lineRule="auto"/>
        <w:rPr>
          <w:rFonts w:ascii="Baskerville" w:hAnsi="Baskerville"/>
        </w:rPr>
      </w:pPr>
      <w:r w:rsidRPr="002309DF">
        <w:rPr>
          <w:rFonts w:ascii="Baskerville" w:hAnsi="Baskerville"/>
        </w:rPr>
        <w:t>Nestor est dans l’Iliade, une figure de sagesse.</w:t>
      </w:r>
    </w:p>
    <w:p w14:paraId="7ECC4733" w14:textId="24364513" w:rsidR="002309DF" w:rsidRDefault="002309DF" w:rsidP="002309DF">
      <w:pPr>
        <w:pStyle w:val="ListParagraph"/>
        <w:numPr>
          <w:ilvl w:val="0"/>
          <w:numId w:val="2"/>
        </w:numPr>
        <w:spacing w:after="0" w:line="240" w:lineRule="auto"/>
        <w:rPr>
          <w:rFonts w:ascii="Baskerville" w:hAnsi="Baskerville"/>
        </w:rPr>
      </w:pPr>
      <w:r>
        <w:rPr>
          <w:rFonts w:ascii="Baskerville" w:hAnsi="Baskerville"/>
        </w:rPr>
        <w:t xml:space="preserve">Lycurgue : </w:t>
      </w:r>
      <w:r w:rsidR="003B54CB">
        <w:rPr>
          <w:rFonts w:ascii="Baskerville" w:hAnsi="Baskerville"/>
        </w:rPr>
        <w:t>législateur mythique de Sparte.</w:t>
      </w:r>
    </w:p>
    <w:p w14:paraId="2FC9B135" w14:textId="36D28782" w:rsidR="0038543D" w:rsidRPr="0038543D" w:rsidRDefault="0038543D" w:rsidP="0038543D">
      <w:pPr>
        <w:pStyle w:val="ListParagraph"/>
        <w:numPr>
          <w:ilvl w:val="0"/>
          <w:numId w:val="2"/>
        </w:numPr>
        <w:spacing w:after="0" w:line="240" w:lineRule="auto"/>
        <w:rPr>
          <w:rFonts w:ascii="Baskerville" w:hAnsi="Baskerville"/>
        </w:rPr>
      </w:pPr>
      <w:r w:rsidRPr="0038543D">
        <w:rPr>
          <w:rFonts w:ascii="Baskerville" w:hAnsi="Baskerville"/>
        </w:rPr>
        <w:t>Pindare : poète grec</w:t>
      </w:r>
    </w:p>
    <w:p w14:paraId="2BF0AE27" w14:textId="0289D52B" w:rsidR="0038543D" w:rsidRPr="0038543D" w:rsidRDefault="008F7BA3" w:rsidP="0038543D">
      <w:pPr>
        <w:pStyle w:val="ListParagraph"/>
        <w:numPr>
          <w:ilvl w:val="0"/>
          <w:numId w:val="2"/>
        </w:numPr>
        <w:spacing w:after="0" w:line="240" w:lineRule="auto"/>
        <w:rPr>
          <w:rFonts w:ascii="Baskerville" w:hAnsi="Baskerville"/>
        </w:rPr>
      </w:pPr>
      <w:r>
        <w:rPr>
          <w:rFonts w:ascii="Baskerville" w:hAnsi="Baskerville"/>
        </w:rPr>
        <w:t xml:space="preserve">David : figure mythique de </w:t>
      </w:r>
      <w:r w:rsidRPr="008F7BA3">
        <w:rPr>
          <w:rFonts w:ascii="Baskerville" w:hAnsi="Baskerville"/>
          <w:i/>
        </w:rPr>
        <w:t>l’A</w:t>
      </w:r>
      <w:r w:rsidR="0038543D" w:rsidRPr="008F7BA3">
        <w:rPr>
          <w:rFonts w:ascii="Baskerville" w:hAnsi="Baskerville"/>
          <w:i/>
        </w:rPr>
        <w:t>ncien Testament</w:t>
      </w:r>
      <w:r>
        <w:rPr>
          <w:rFonts w:ascii="Baskerville" w:hAnsi="Baskerville"/>
          <w:i/>
        </w:rPr>
        <w:t xml:space="preserve">, </w:t>
      </w:r>
      <w:r>
        <w:rPr>
          <w:rFonts w:ascii="Baskerville" w:hAnsi="Baskerville"/>
        </w:rPr>
        <w:t xml:space="preserve"> il composa les psaumes, prières encore aujourd’hui récitées dans les églises catholiques.</w:t>
      </w:r>
    </w:p>
    <w:sectPr w:rsidR="0038543D" w:rsidRPr="0038543D" w:rsidSect="00C753E9">
      <w:footerReference w:type="default" r:id="rId14"/>
      <w:pgSz w:w="11906" w:h="16838"/>
      <w:pgMar w:top="1134" w:right="1191"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13876" w14:textId="77777777" w:rsidR="00E933A2" w:rsidRDefault="00E933A2" w:rsidP="00E933A2">
      <w:pPr>
        <w:spacing w:after="0" w:line="240" w:lineRule="auto"/>
      </w:pPr>
      <w:r>
        <w:separator/>
      </w:r>
    </w:p>
  </w:endnote>
  <w:endnote w:type="continuationSeparator" w:id="0">
    <w:p w14:paraId="3E94252A" w14:textId="77777777" w:rsidR="00E933A2" w:rsidRDefault="00E933A2" w:rsidP="00E93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72 Book">
    <w:panose1 w:val="000004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F474" w14:textId="19DB0B94" w:rsidR="00E933A2" w:rsidRPr="00E933A2" w:rsidRDefault="00E933A2">
    <w:pPr>
      <w:pStyle w:val="Footer"/>
      <w:rPr>
        <w:rFonts w:ascii="Baskerville" w:hAnsi="Baskerville"/>
        <w:sz w:val="20"/>
        <w:szCs w:val="20"/>
      </w:rPr>
    </w:pPr>
    <w:r>
      <w:rPr>
        <w:rFonts w:ascii="Baskerville" w:hAnsi="Baskerville"/>
        <w:sz w:val="20"/>
        <w:szCs w:val="20"/>
      </w:rPr>
      <w:t>Marion Duvauchel – Alternativephilolettres - 2021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0B155" w14:textId="77777777" w:rsidR="00E933A2" w:rsidRDefault="00E933A2" w:rsidP="00E933A2">
      <w:pPr>
        <w:spacing w:after="0" w:line="240" w:lineRule="auto"/>
      </w:pPr>
      <w:r>
        <w:separator/>
      </w:r>
    </w:p>
  </w:footnote>
  <w:footnote w:type="continuationSeparator" w:id="0">
    <w:p w14:paraId="6F9F2BB9" w14:textId="77777777" w:rsidR="00E933A2" w:rsidRDefault="00E933A2" w:rsidP="00E933A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5CD"/>
    <w:multiLevelType w:val="hybridMultilevel"/>
    <w:tmpl w:val="0D82861E"/>
    <w:lvl w:ilvl="0" w:tplc="D478B046">
      <w:start w:val="40"/>
      <w:numFmt w:val="bullet"/>
      <w:lvlText w:val="—"/>
      <w:lvlJc w:val="left"/>
      <w:pPr>
        <w:ind w:left="502" w:hanging="360"/>
      </w:pPr>
      <w:rPr>
        <w:rFonts w:ascii="Bodoni 72 Book" w:eastAsia="Times New Roman" w:hAnsi="Bodoni 72 Book" w:cs="Arial"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366F0A83"/>
    <w:multiLevelType w:val="hybridMultilevel"/>
    <w:tmpl w:val="636C7C7C"/>
    <w:lvl w:ilvl="0" w:tplc="6CEAA6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20"/>
    <w:rsid w:val="0023024A"/>
    <w:rsid w:val="002309DF"/>
    <w:rsid w:val="0033762C"/>
    <w:rsid w:val="00381C1E"/>
    <w:rsid w:val="0038543D"/>
    <w:rsid w:val="003B54CB"/>
    <w:rsid w:val="003F402E"/>
    <w:rsid w:val="004C5067"/>
    <w:rsid w:val="00510A3B"/>
    <w:rsid w:val="0051482B"/>
    <w:rsid w:val="00546ABF"/>
    <w:rsid w:val="00663EAF"/>
    <w:rsid w:val="006A70B1"/>
    <w:rsid w:val="006D0B20"/>
    <w:rsid w:val="007D3BE5"/>
    <w:rsid w:val="00857B04"/>
    <w:rsid w:val="008D5BC7"/>
    <w:rsid w:val="008F7BA3"/>
    <w:rsid w:val="00992F67"/>
    <w:rsid w:val="00A30ACF"/>
    <w:rsid w:val="00AB0A7D"/>
    <w:rsid w:val="00B503CA"/>
    <w:rsid w:val="00BA6194"/>
    <w:rsid w:val="00BB2E1A"/>
    <w:rsid w:val="00C36640"/>
    <w:rsid w:val="00C67A3C"/>
    <w:rsid w:val="00C753E9"/>
    <w:rsid w:val="00D66763"/>
    <w:rsid w:val="00E933A2"/>
    <w:rsid w:val="00EF0CB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75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0B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6D0B20"/>
  </w:style>
  <w:style w:type="paragraph" w:styleId="BalloonText">
    <w:name w:val="Balloon Text"/>
    <w:basedOn w:val="Normal"/>
    <w:link w:val="BalloonTextChar"/>
    <w:uiPriority w:val="99"/>
    <w:semiHidden/>
    <w:unhideWhenUsed/>
    <w:rsid w:val="005148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82B"/>
    <w:rPr>
      <w:rFonts w:ascii="Lucida Grande" w:hAnsi="Lucida Grande" w:cs="Lucida Grande"/>
      <w:sz w:val="18"/>
      <w:szCs w:val="18"/>
    </w:rPr>
  </w:style>
  <w:style w:type="character" w:styleId="Emphasis">
    <w:name w:val="Emphasis"/>
    <w:basedOn w:val="DefaultParagraphFont"/>
    <w:uiPriority w:val="20"/>
    <w:qFormat/>
    <w:rsid w:val="0051482B"/>
    <w:rPr>
      <w:i/>
      <w:iCs/>
    </w:rPr>
  </w:style>
  <w:style w:type="character" w:styleId="Hyperlink">
    <w:name w:val="Hyperlink"/>
    <w:basedOn w:val="DefaultParagraphFont"/>
    <w:uiPriority w:val="99"/>
    <w:semiHidden/>
    <w:unhideWhenUsed/>
    <w:rsid w:val="00BB2E1A"/>
    <w:rPr>
      <w:color w:val="0000FF"/>
      <w:u w:val="single"/>
    </w:rPr>
  </w:style>
  <w:style w:type="paragraph" w:styleId="ListParagraph">
    <w:name w:val="List Paragraph"/>
    <w:basedOn w:val="Normal"/>
    <w:uiPriority w:val="34"/>
    <w:qFormat/>
    <w:rsid w:val="00C753E9"/>
    <w:pPr>
      <w:ind w:left="720"/>
      <w:contextualSpacing/>
    </w:pPr>
  </w:style>
  <w:style w:type="paragraph" w:styleId="Header">
    <w:name w:val="header"/>
    <w:basedOn w:val="Normal"/>
    <w:link w:val="HeaderChar"/>
    <w:uiPriority w:val="99"/>
    <w:unhideWhenUsed/>
    <w:rsid w:val="00E933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933A2"/>
  </w:style>
  <w:style w:type="paragraph" w:styleId="Footer">
    <w:name w:val="footer"/>
    <w:basedOn w:val="Normal"/>
    <w:link w:val="FooterChar"/>
    <w:uiPriority w:val="99"/>
    <w:unhideWhenUsed/>
    <w:rsid w:val="00E933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33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0B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6D0B20"/>
  </w:style>
  <w:style w:type="paragraph" w:styleId="BalloonText">
    <w:name w:val="Balloon Text"/>
    <w:basedOn w:val="Normal"/>
    <w:link w:val="BalloonTextChar"/>
    <w:uiPriority w:val="99"/>
    <w:semiHidden/>
    <w:unhideWhenUsed/>
    <w:rsid w:val="005148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82B"/>
    <w:rPr>
      <w:rFonts w:ascii="Lucida Grande" w:hAnsi="Lucida Grande" w:cs="Lucida Grande"/>
      <w:sz w:val="18"/>
      <w:szCs w:val="18"/>
    </w:rPr>
  </w:style>
  <w:style w:type="character" w:styleId="Emphasis">
    <w:name w:val="Emphasis"/>
    <w:basedOn w:val="DefaultParagraphFont"/>
    <w:uiPriority w:val="20"/>
    <w:qFormat/>
    <w:rsid w:val="0051482B"/>
    <w:rPr>
      <w:i/>
      <w:iCs/>
    </w:rPr>
  </w:style>
  <w:style w:type="character" w:styleId="Hyperlink">
    <w:name w:val="Hyperlink"/>
    <w:basedOn w:val="DefaultParagraphFont"/>
    <w:uiPriority w:val="99"/>
    <w:semiHidden/>
    <w:unhideWhenUsed/>
    <w:rsid w:val="00BB2E1A"/>
    <w:rPr>
      <w:color w:val="0000FF"/>
      <w:u w:val="single"/>
    </w:rPr>
  </w:style>
  <w:style w:type="paragraph" w:styleId="ListParagraph">
    <w:name w:val="List Paragraph"/>
    <w:basedOn w:val="Normal"/>
    <w:uiPriority w:val="34"/>
    <w:qFormat/>
    <w:rsid w:val="00C753E9"/>
    <w:pPr>
      <w:ind w:left="720"/>
      <w:contextualSpacing/>
    </w:pPr>
  </w:style>
  <w:style w:type="paragraph" w:styleId="Header">
    <w:name w:val="header"/>
    <w:basedOn w:val="Normal"/>
    <w:link w:val="HeaderChar"/>
    <w:uiPriority w:val="99"/>
    <w:unhideWhenUsed/>
    <w:rsid w:val="00E933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E933A2"/>
  </w:style>
  <w:style w:type="paragraph" w:styleId="Footer">
    <w:name w:val="footer"/>
    <w:basedOn w:val="Normal"/>
    <w:link w:val="FooterChar"/>
    <w:uiPriority w:val="99"/>
    <w:unhideWhenUsed/>
    <w:rsid w:val="00E933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3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6960">
      <w:bodyDiv w:val="1"/>
      <w:marLeft w:val="0"/>
      <w:marRight w:val="0"/>
      <w:marTop w:val="0"/>
      <w:marBottom w:val="0"/>
      <w:divBdr>
        <w:top w:val="none" w:sz="0" w:space="0" w:color="auto"/>
        <w:left w:val="none" w:sz="0" w:space="0" w:color="auto"/>
        <w:bottom w:val="none" w:sz="0" w:space="0" w:color="auto"/>
        <w:right w:val="none" w:sz="0" w:space="0" w:color="auto"/>
      </w:divBdr>
    </w:div>
    <w:div w:id="538056799">
      <w:bodyDiv w:val="1"/>
      <w:marLeft w:val="0"/>
      <w:marRight w:val="0"/>
      <w:marTop w:val="0"/>
      <w:marBottom w:val="0"/>
      <w:divBdr>
        <w:top w:val="none" w:sz="0" w:space="0" w:color="auto"/>
        <w:left w:val="none" w:sz="0" w:space="0" w:color="auto"/>
        <w:bottom w:val="none" w:sz="0" w:space="0" w:color="auto"/>
        <w:right w:val="none" w:sz="0" w:space="0" w:color="auto"/>
      </w:divBdr>
    </w:div>
    <w:div w:id="1725984321">
      <w:bodyDiv w:val="1"/>
      <w:marLeft w:val="0"/>
      <w:marRight w:val="0"/>
      <w:marTop w:val="0"/>
      <w:marBottom w:val="0"/>
      <w:divBdr>
        <w:top w:val="none" w:sz="0" w:space="0" w:color="auto"/>
        <w:left w:val="none" w:sz="0" w:space="0" w:color="auto"/>
        <w:bottom w:val="none" w:sz="0" w:space="0" w:color="auto"/>
        <w:right w:val="none" w:sz="0" w:space="0" w:color="auto"/>
      </w:divBdr>
    </w:div>
    <w:div w:id="17410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fr.wikisource.org/wiki/Revue_des_Deux_Mondes"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945</Words>
  <Characters>5389</Characters>
  <Application>Microsoft Macintosh Word</Application>
  <DocSecurity>0</DocSecurity>
  <Lines>44</Lines>
  <Paragraphs>12</Paragraphs>
  <ScaleCrop>false</ScaleCrop>
  <Company/>
  <LinksUpToDate>false</LinksUpToDate>
  <CharactersWithSpaces>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Duvauchel</dc:creator>
  <cp:lastModifiedBy>Marion Duvauchel</cp:lastModifiedBy>
  <cp:revision>2</cp:revision>
  <dcterms:created xsi:type="dcterms:W3CDTF">2021-02-20T08:40:00Z</dcterms:created>
  <dcterms:modified xsi:type="dcterms:W3CDTF">2021-02-20T08:40:00Z</dcterms:modified>
</cp:coreProperties>
</file>